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2E" w:rsidRPr="002A06D0" w:rsidRDefault="001B1C2E" w:rsidP="00EF398C">
      <w:pPr>
        <w:pBdr>
          <w:bottom w:val="single" w:sz="4" w:space="1" w:color="auto"/>
        </w:pBdr>
        <w:rPr>
          <w:rFonts w:ascii="Calibri" w:eastAsia="Calibri" w:hAnsi="Calibri"/>
          <w:sz w:val="22"/>
          <w:szCs w:val="22"/>
        </w:rPr>
      </w:pPr>
      <w:r w:rsidRPr="00415392">
        <w:rPr>
          <w:rFonts w:ascii="Calibri" w:eastAsia="Calibri" w:hAnsi="Calibri"/>
          <w:b/>
          <w:szCs w:val="22"/>
        </w:rPr>
        <w:t xml:space="preserve">FULL TEXT </w:t>
      </w:r>
    </w:p>
    <w:p w:rsidR="001B1C2E" w:rsidRDefault="001B1C2E" w:rsidP="001B1C2E">
      <w:pPr>
        <w:rPr>
          <w:rFonts w:ascii="Calibri" w:hAnsi="Calibri"/>
          <w:sz w:val="20"/>
          <w:szCs w:val="20"/>
        </w:rPr>
      </w:pPr>
    </w:p>
    <w:p w:rsidR="00901EEB" w:rsidRPr="00901EEB" w:rsidRDefault="0009266F" w:rsidP="00901E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Associated Press</w:t>
      </w:r>
    </w:p>
    <w:p w:rsidR="00901EEB" w:rsidRPr="0009266F" w:rsidRDefault="0009266F" w:rsidP="00901EEB">
      <w:pPr>
        <w:rPr>
          <w:rFonts w:ascii="Calibri" w:hAnsi="Calibri"/>
          <w:b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b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b/>
          <w:sz w:val="22"/>
          <w:szCs w:val="22"/>
          <w:lang w:val="pt-BR"/>
        </w:rPr>
        <w:t xml:space="preserve"> media </w:t>
      </w:r>
      <w:proofErr w:type="spellStart"/>
      <w:r w:rsidRPr="0009266F">
        <w:rPr>
          <w:rFonts w:ascii="Calibri" w:hAnsi="Calibri"/>
          <w:b/>
          <w:sz w:val="22"/>
          <w:szCs w:val="22"/>
          <w:lang w:val="pt-BR"/>
        </w:rPr>
        <w:t>crece</w:t>
      </w:r>
      <w:proofErr w:type="spellEnd"/>
      <w:r w:rsidRPr="0009266F">
        <w:rPr>
          <w:rFonts w:ascii="Calibri" w:hAnsi="Calibri"/>
          <w:b/>
          <w:sz w:val="22"/>
          <w:szCs w:val="22"/>
          <w:lang w:val="pt-BR"/>
        </w:rPr>
        <w:t xml:space="preserve"> y da </w:t>
      </w:r>
      <w:proofErr w:type="spellStart"/>
      <w:r w:rsidRPr="0009266F">
        <w:rPr>
          <w:rFonts w:ascii="Calibri" w:hAnsi="Calibri"/>
          <w:b/>
          <w:sz w:val="22"/>
          <w:szCs w:val="22"/>
          <w:lang w:val="pt-BR"/>
        </w:rPr>
        <w:t>impulse</w:t>
      </w:r>
      <w:proofErr w:type="spellEnd"/>
      <w:r w:rsidRPr="0009266F">
        <w:rPr>
          <w:rFonts w:ascii="Calibri" w:hAnsi="Calibri"/>
          <w:b/>
          <w:sz w:val="22"/>
          <w:szCs w:val="22"/>
          <w:lang w:val="pt-BR"/>
        </w:rPr>
        <w:t xml:space="preserve"> a </w:t>
      </w:r>
      <w:proofErr w:type="spellStart"/>
      <w:proofErr w:type="gramStart"/>
      <w:r w:rsidRPr="0009266F">
        <w:rPr>
          <w:rFonts w:ascii="Calibri" w:hAnsi="Calibri"/>
          <w:b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b/>
          <w:sz w:val="22"/>
          <w:szCs w:val="22"/>
          <w:lang w:val="pt-BR"/>
        </w:rPr>
        <w:t xml:space="preserve"> economia </w:t>
      </w:r>
      <w:proofErr w:type="spellStart"/>
      <w:r w:rsidRPr="0009266F">
        <w:rPr>
          <w:rFonts w:ascii="Calibri" w:hAnsi="Calibri"/>
          <w:b/>
          <w:sz w:val="22"/>
          <w:szCs w:val="22"/>
          <w:lang w:val="pt-BR"/>
        </w:rPr>
        <w:t>brasile</w:t>
      </w:r>
      <w:r>
        <w:rPr>
          <w:rFonts w:ascii="Calibri" w:hAnsi="Calibri"/>
          <w:b/>
          <w:sz w:val="22"/>
          <w:szCs w:val="22"/>
          <w:lang w:val="pt-BR"/>
        </w:rPr>
        <w:t>ña</w:t>
      </w:r>
      <w:proofErr w:type="spellEnd"/>
    </w:p>
    <w:p w:rsidR="00901EEB" w:rsidRPr="00901EEB" w:rsidRDefault="00901EEB" w:rsidP="00901EEB">
      <w:pPr>
        <w:rPr>
          <w:rFonts w:ascii="Calibri" w:hAnsi="Calibri"/>
          <w:sz w:val="22"/>
          <w:szCs w:val="22"/>
        </w:rPr>
      </w:pPr>
      <w:r w:rsidRPr="00901EEB">
        <w:rPr>
          <w:rFonts w:ascii="Calibri" w:hAnsi="Calibri"/>
          <w:sz w:val="22"/>
          <w:szCs w:val="22"/>
        </w:rPr>
        <w:t xml:space="preserve">By </w:t>
      </w:r>
      <w:r w:rsidR="0009266F">
        <w:rPr>
          <w:rFonts w:ascii="Calibri" w:hAnsi="Calibri"/>
          <w:sz w:val="22"/>
          <w:szCs w:val="22"/>
        </w:rPr>
        <w:t>Marco Sibaja</w:t>
      </w:r>
    </w:p>
    <w:p w:rsidR="00901EEB" w:rsidRPr="00901EEB" w:rsidRDefault="0009266F" w:rsidP="00901E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27 November</w:t>
      </w:r>
      <w:r w:rsidR="00901EEB" w:rsidRPr="00901EEB">
        <w:rPr>
          <w:rFonts w:ascii="Calibri" w:hAnsi="Calibri"/>
          <w:sz w:val="22"/>
          <w:szCs w:val="22"/>
        </w:rPr>
        <w:t xml:space="preserve"> </w:t>
      </w:r>
      <w:r w:rsidR="00901EEB" w:rsidRPr="0099629C">
        <w:rPr>
          <w:rFonts w:ascii="Calibri" w:hAnsi="Calibri"/>
          <w:sz w:val="22"/>
          <w:szCs w:val="22"/>
        </w:rPr>
        <w:t>2011</w:t>
      </w:r>
      <w:r w:rsidR="0099629C" w:rsidRPr="0099629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12</w:t>
      </w:r>
      <w:r w:rsidR="0099629C" w:rsidRPr="0099629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27p</w:t>
      </w:r>
      <w:r w:rsidR="0099629C" w:rsidRPr="0099629C">
        <w:rPr>
          <w:rFonts w:ascii="Calibri" w:hAnsi="Calibri"/>
          <w:sz w:val="22"/>
          <w:szCs w:val="22"/>
        </w:rPr>
        <w:t>m ET</w:t>
      </w:r>
    </w:p>
    <w:p w:rsidR="00901EEB" w:rsidRPr="00901EEB" w:rsidRDefault="00901EEB" w:rsidP="00901EEB">
      <w:pPr>
        <w:rPr>
          <w:rFonts w:ascii="Calibri" w:hAnsi="Calibri"/>
          <w:sz w:val="22"/>
          <w:szCs w:val="22"/>
        </w:rPr>
      </w:pPr>
    </w:p>
    <w:p w:rsid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BRASILIA (AP) —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Ednalda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Ribeiro da Silva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recibía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asistencia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gobierno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mantener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de 14 y 4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mientras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ganaba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vida como vendedora ambulante de cosméticos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Ceilandia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ciudad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obrera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entorno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capital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Pr="0009266F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ayuda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oficial de 134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(73 dólares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tipo de cambio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actual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)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mensuales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r w:rsidR="000A6600">
        <w:rPr>
          <w:rFonts w:ascii="Calibri" w:hAnsi="Calibri"/>
          <w:sz w:val="22"/>
          <w:szCs w:val="22"/>
          <w:lang w:val="pt-BR"/>
        </w:rPr>
        <w:t>Ribeiro</w:t>
      </w:r>
      <w:r w:rsidRPr="0009266F">
        <w:rPr>
          <w:rFonts w:ascii="Calibri" w:hAnsi="Calibri"/>
          <w:sz w:val="22"/>
          <w:szCs w:val="22"/>
          <w:lang w:val="pt-BR"/>
        </w:rPr>
        <w:t xml:space="preserve"> da Silva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pudo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costear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luego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separarse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segundo marido dos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atrás.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Aunque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monto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asistencia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pequeño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comunidad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bastaba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garantizar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alimentación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básica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permitió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esta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mujer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31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formarse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como técnica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enfermería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mientras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iban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escuela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recibir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título, </w:t>
      </w:r>
      <w:r w:rsidR="000A6600">
        <w:rPr>
          <w:rFonts w:ascii="Calibri" w:hAnsi="Calibri"/>
          <w:sz w:val="22"/>
          <w:szCs w:val="22"/>
          <w:lang w:val="pt-BR"/>
        </w:rPr>
        <w:t>Ribeiro</w:t>
      </w:r>
      <w:r w:rsidRPr="0009266F">
        <w:rPr>
          <w:rFonts w:ascii="Calibri" w:hAnsi="Calibri"/>
          <w:sz w:val="22"/>
          <w:szCs w:val="22"/>
          <w:lang w:val="pt-BR"/>
        </w:rPr>
        <w:t xml:space="preserve"> da Silva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obtuvo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empleo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hospital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pudo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renunciar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ayuda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recibía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Beca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Familia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principal programa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asistencia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gobierno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transfiere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dinero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familias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necesitadas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condición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Como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asistente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enfermería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Silva gana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sueldo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básico de unos 2.200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(1.200 dólares), más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buena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cantidad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horas extras,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pudo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comprarse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crédito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automóvil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nuevo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recorre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casi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50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kilómetros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distancia hasta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hospital donde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.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También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entró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pedagogía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universidad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privada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ya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está pensando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inversiones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futuras.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>"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Quiero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comprar una casa, pero antes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tengo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terminar de pagar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carro",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comentó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Silva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casa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madre, Florentina da Silva,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vive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actualmente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quien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cuida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cuando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sale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Al igual que Silva,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millones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salieron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últimos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pobreza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engrosaron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filas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segmento que ha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crecido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desde 2004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ayudó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sólido mercado interno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Brasil, que permite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país resistir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peores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impactos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crisis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global.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Fundación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Getulio Vargas,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basado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estadísticas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oficiales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afirmó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48,7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millones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personas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aumentaron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pasaron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y alta entre 2003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comienzos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2011.</w:t>
      </w: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Dentro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total, 13,3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millones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tuvieron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21 meses acumulados hasta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mayo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2011,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decir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momentos que Brasil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lidiaba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efectos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crisis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financiera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global. El gigante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suramericano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tiene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total de 191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millones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"El impacto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sobre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economía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muy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grande. La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nueva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está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creciendo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manera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muy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consistente; incluso durante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crisis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continuó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creciendo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The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Associated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Press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investigador Ma</w:t>
      </w:r>
      <w:r w:rsidR="000A6600">
        <w:rPr>
          <w:rFonts w:ascii="Calibri" w:hAnsi="Calibri"/>
          <w:sz w:val="22"/>
          <w:szCs w:val="22"/>
          <w:lang w:val="pt-BR"/>
        </w:rPr>
        <w:t>rcelo</w:t>
      </w:r>
      <w:r w:rsidRPr="0009266F">
        <w:rPr>
          <w:rFonts w:ascii="Calibri" w:hAnsi="Calibri"/>
          <w:sz w:val="22"/>
          <w:szCs w:val="22"/>
          <w:lang w:val="pt-BR"/>
        </w:rPr>
        <w:t xml:space="preserve"> Neri, autor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Fundación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Getulio Vargas. "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mantuvo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ruedas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economía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girando durante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crisis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".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Sectores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sociedad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tradicionalmente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vivían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básico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comenzaron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tener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acceso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crédito y a comprar cosas como televisores y refrigeradores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nuevos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.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viajes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avión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dentro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Brasil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pasaron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formar parte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planes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vacacionales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aeropuertos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saturaron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días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festivos.</w:t>
      </w:r>
    </w:p>
    <w:p w:rsid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Datos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Secretaría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Asuntos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Estratégicos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gobierno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reflejan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cambio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distribución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donde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históricamente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pobres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sido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mitad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total.</w:t>
      </w: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2003,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49%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40%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y 11% de alta.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Para 2009,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cuadro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había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cambiado: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cayó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34%,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subió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52%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alta a 14%.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este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cuadro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considera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familia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hasta 136 dólares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mensuales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persona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. La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abarca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hogares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entre 640 y 2.700 dólares.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Para Neri,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factor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esencial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educación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: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tiene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cada vez más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acceso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enseñanza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básica y superior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redunda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aumentos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trabajadores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Sin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embargo,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investigador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que, a pesar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progresos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retrato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educación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negativo.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"El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nivel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educación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cantidad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Brasil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muy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. La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más de 25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tiene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promedio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7,27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completos,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nivel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muy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pobre,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idéntico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Zimbabue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país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peor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índice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desarrollo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humano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mundo",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expresó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Neri citando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datos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UNESCO.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No obstante,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afirmó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cuadro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está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proceso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cambio.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Mientras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1990,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16%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niños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7 a 14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estaban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escuela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para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2000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eran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4%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2009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cayó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menos de 2%.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>"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niños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comenzaron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ir más a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escuela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llegaron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mercado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más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educación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;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permitió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aumentar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base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pirámide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destacó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Neri.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Paulo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Januzzi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secretario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evaluación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gestión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Ministerio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Desarrollo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coincidió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papel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educación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movilización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pero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recordó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dinamismo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económico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iniciado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país a partir de 2004,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aunado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programas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sociales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distribución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como Beca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Familia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fueron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clave.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"La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economía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recupera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2000 por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factores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internacionales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como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crecimiento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China (que realiza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intenso intercambio comercial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Brasil), pero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también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cambio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orientación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política pública. El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salario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mínimo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pasó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tener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aumentos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anuales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ampliaron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programas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transferencia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. Todo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pasa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masa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consumo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segmentos de menor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calificación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incorporan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mercado laboral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mejores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salarios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impacta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tope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pirámide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Januzzi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La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valorización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real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salario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mínimo,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adoptada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como política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gobierno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Luiz Inácio Lula da Silva (2003-2010),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permitió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sectores menos favorecidos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vieran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aumentar 55% por encima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inflación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entre 2004 y 2010.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Paralelamente,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período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fueron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generados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15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millones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empleos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formales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permitiendo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por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primera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vez Brasil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tuviera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más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trabajadores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formales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informales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según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datos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Ministerio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Trabajo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Desde 2004,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economía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aceleró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ritmo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crecimiento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hasta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alcanzar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promedio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4,7% anual entre 2004 y 2007, y de 5,2%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2008. Si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bien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economía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decreció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0,3%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2009 como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efecto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crisis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global,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retomó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dinámica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siguiente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una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expansión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2010, todo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ayudó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sustentar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según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Januzzi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El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fenómeno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refleja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también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índices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desigualdad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social, que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han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reducido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últimos 10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años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aunque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continúan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elevados.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El índice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Gini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principal indicador internacional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desigualdad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tiene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Brasil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0,55,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más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bajo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desde 1960,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cuando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creó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sistema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medición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0 a 1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sistema de cálculo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cual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más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igualitario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y 1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más desigual.</w:t>
      </w: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 xml:space="preserve">Del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bloque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BRICS (Brasil,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Rusia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India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China y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Sudáfrica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), solo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Sudáfrica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más desigual que Brasil,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0,67,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mientras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Rusia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aparece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0,44,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India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0,52 y China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0,48.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proofErr w:type="spellStart"/>
      <w:r w:rsidRPr="0009266F">
        <w:rPr>
          <w:rFonts w:ascii="Calibri" w:hAnsi="Calibri"/>
          <w:sz w:val="22"/>
          <w:szCs w:val="22"/>
          <w:lang w:val="pt-BR"/>
        </w:rPr>
        <w:t>Aún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así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,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estudio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Fundación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Getulio Vargas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destacó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factor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disminución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desigualdad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Brasil: entre 2000 y 2010,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ingresos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mitad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gana menos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subieron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68%,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mientras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los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del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10% más rico de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población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aumentaron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10%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período.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09266F" w:rsidRPr="0009266F" w:rsidRDefault="0009266F" w:rsidP="0009266F">
      <w:pPr>
        <w:rPr>
          <w:rFonts w:ascii="Calibri" w:hAnsi="Calibri"/>
          <w:sz w:val="22"/>
          <w:szCs w:val="22"/>
          <w:lang w:val="pt-BR"/>
        </w:rPr>
      </w:pPr>
      <w:r w:rsidRPr="0009266F">
        <w:rPr>
          <w:rFonts w:ascii="Calibri" w:hAnsi="Calibri"/>
          <w:sz w:val="22"/>
          <w:szCs w:val="22"/>
          <w:lang w:val="pt-BR"/>
        </w:rPr>
        <w:t>"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Ese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contingente que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llegó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ampliar </w:t>
      </w:r>
      <w:proofErr w:type="spellStart"/>
      <w:proofErr w:type="gram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proofErr w:type="gram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clase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media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vino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para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quedarse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;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difícilmente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a volver atrás",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vaticinó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Januzzi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sobre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la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movilidad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 xml:space="preserve"> social </w:t>
      </w:r>
      <w:proofErr w:type="spellStart"/>
      <w:r w:rsidRPr="0009266F">
        <w:rPr>
          <w:rFonts w:ascii="Calibri" w:hAnsi="Calibri"/>
          <w:sz w:val="22"/>
          <w:szCs w:val="22"/>
          <w:lang w:val="pt-BR"/>
        </w:rPr>
        <w:t>brasileña</w:t>
      </w:r>
      <w:proofErr w:type="spellEnd"/>
      <w:r w:rsidRPr="0009266F">
        <w:rPr>
          <w:rFonts w:ascii="Calibri" w:hAnsi="Calibri"/>
          <w:sz w:val="22"/>
          <w:szCs w:val="22"/>
          <w:lang w:val="pt-BR"/>
        </w:rPr>
        <w:t>.</w:t>
      </w:r>
    </w:p>
    <w:p w:rsidR="000A6600" w:rsidRDefault="000A6600" w:rsidP="0009266F">
      <w:pPr>
        <w:rPr>
          <w:rFonts w:ascii="Calibri" w:hAnsi="Calibri"/>
          <w:sz w:val="22"/>
          <w:szCs w:val="22"/>
          <w:lang w:val="pt-BR"/>
        </w:rPr>
      </w:pPr>
    </w:p>
    <w:p w:rsidR="00282715" w:rsidRPr="0009266F" w:rsidRDefault="000A6600">
      <w:pPr>
        <w:rPr>
          <w:lang w:val="pt-BR"/>
        </w:rPr>
      </w:pPr>
      <w:r>
        <w:rPr>
          <w:rFonts w:ascii="Calibri" w:hAnsi="Calibri"/>
          <w:sz w:val="22"/>
          <w:szCs w:val="22"/>
          <w:lang w:val="pt-BR"/>
        </w:rPr>
        <w:t>Ribeiro</w:t>
      </w:r>
      <w:r w:rsidR="0009266F" w:rsidRPr="0009266F">
        <w:rPr>
          <w:rFonts w:ascii="Calibri" w:hAnsi="Calibri"/>
          <w:sz w:val="22"/>
          <w:szCs w:val="22"/>
          <w:lang w:val="pt-BR"/>
        </w:rPr>
        <w:t xml:space="preserve"> da Silva </w:t>
      </w:r>
      <w:proofErr w:type="spellStart"/>
      <w:proofErr w:type="gramStart"/>
      <w:r w:rsidR="0009266F" w:rsidRPr="0009266F">
        <w:rPr>
          <w:rFonts w:ascii="Calibri" w:hAnsi="Calibri"/>
          <w:sz w:val="22"/>
          <w:szCs w:val="22"/>
          <w:lang w:val="pt-BR"/>
        </w:rPr>
        <w:t>es</w:t>
      </w:r>
      <w:proofErr w:type="spellEnd"/>
      <w:proofErr w:type="gram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ejemplo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de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eso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. Ella descarta volver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día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a pedir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asistencia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pública para pagar </w:t>
      </w:r>
      <w:proofErr w:type="spellStart"/>
      <w:proofErr w:type="gramStart"/>
      <w:r w:rsidR="0009266F"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proofErr w:type="gram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cuentas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y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mantener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sus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hijos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. Por </w:t>
      </w:r>
      <w:proofErr w:type="spellStart"/>
      <w:proofErr w:type="gramStart"/>
      <w:r w:rsidR="0009266F"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proofErr w:type="gramEnd"/>
      <w:r w:rsidR="0009266F" w:rsidRPr="0009266F">
        <w:rPr>
          <w:rFonts w:ascii="Calibri" w:hAnsi="Calibri"/>
          <w:sz w:val="22"/>
          <w:szCs w:val="22"/>
          <w:lang w:val="pt-BR"/>
        </w:rPr>
        <w:t xml:space="preserve"> contrario,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ve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en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su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futuro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un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empleo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mejor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que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el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actual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, una casa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propia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y, tal vez, una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nueva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09266F" w:rsidRPr="0009266F">
        <w:rPr>
          <w:rFonts w:ascii="Calibri" w:hAnsi="Calibri"/>
          <w:sz w:val="22"/>
          <w:szCs w:val="22"/>
          <w:lang w:val="pt-BR"/>
        </w:rPr>
        <w:t>familia</w:t>
      </w:r>
      <w:proofErr w:type="spellEnd"/>
      <w:r w:rsidR="0009266F" w:rsidRPr="0009266F">
        <w:rPr>
          <w:rFonts w:ascii="Calibri" w:hAnsi="Calibri"/>
          <w:sz w:val="22"/>
          <w:szCs w:val="22"/>
          <w:lang w:val="pt-BR"/>
        </w:rPr>
        <w:t>.</w:t>
      </w:r>
    </w:p>
    <w:sectPr w:rsidR="00282715" w:rsidRPr="0009266F" w:rsidSect="001B1C2E">
      <w:footerReference w:type="default" r:id="rId8"/>
      <w:pgSz w:w="12240" w:h="15840"/>
      <w:pgMar w:top="1260" w:right="108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8E" w:rsidRDefault="00B6058E" w:rsidP="00331973">
      <w:r>
        <w:separator/>
      </w:r>
    </w:p>
  </w:endnote>
  <w:endnote w:type="continuationSeparator" w:id="0">
    <w:p w:rsidR="00B6058E" w:rsidRDefault="00B6058E" w:rsidP="0033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6F" w:rsidRPr="009A5DDC" w:rsidRDefault="0009266F" w:rsidP="0009266F">
    <w:pPr>
      <w:shd w:val="clear" w:color="auto" w:fill="FFFFFF"/>
      <w:jc w:val="center"/>
      <w:rPr>
        <w:rFonts w:ascii="Calibri" w:hAnsi="Calibri"/>
        <w:sz w:val="20"/>
        <w:szCs w:val="20"/>
      </w:rPr>
    </w:pPr>
    <w:r w:rsidRPr="0009266F">
      <w:rPr>
        <w:rFonts w:ascii="Calibri" w:hAnsi="Calibri"/>
        <w:sz w:val="20"/>
        <w:szCs w:val="20"/>
      </w:rPr>
      <w:t>Bra</w:t>
    </w:r>
    <w:r>
      <w:rPr>
        <w:rFonts w:ascii="Calibri" w:hAnsi="Calibri"/>
        <w:sz w:val="20"/>
        <w:szCs w:val="20"/>
      </w:rPr>
      <w:t xml:space="preserve">zil’s Middle </w:t>
    </w:r>
    <w:proofErr w:type="spellStart"/>
    <w:r>
      <w:rPr>
        <w:rFonts w:ascii="Calibri" w:hAnsi="Calibri"/>
        <w:sz w:val="20"/>
        <w:szCs w:val="20"/>
      </w:rPr>
      <w:t>Classe</w:t>
    </w:r>
    <w:proofErr w:type="spellEnd"/>
    <w:r>
      <w:rPr>
        <w:rFonts w:ascii="Calibri" w:hAnsi="Calibri"/>
        <w:sz w:val="20"/>
        <w:szCs w:val="20"/>
      </w:rPr>
      <w:t xml:space="preserve"> - Research b</w:t>
    </w:r>
    <w:r w:rsidRPr="0009266F">
      <w:rPr>
        <w:rFonts w:ascii="Calibri" w:hAnsi="Calibri"/>
        <w:sz w:val="20"/>
        <w:szCs w:val="20"/>
      </w:rPr>
      <w:t xml:space="preserve">y </w:t>
    </w:r>
    <w:r>
      <w:rPr>
        <w:rFonts w:ascii="Calibri" w:hAnsi="Calibri"/>
        <w:sz w:val="20"/>
        <w:szCs w:val="20"/>
      </w:rPr>
      <w:t>FGV – Media Coverage Report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 xml:space="preserve">  </w:t>
    </w:r>
    <w:r w:rsidRPr="009A5DDC">
      <w:rPr>
        <w:rFonts w:ascii="Calibri" w:hAnsi="Calibri"/>
        <w:sz w:val="20"/>
        <w:szCs w:val="20"/>
      </w:rPr>
      <w:t xml:space="preserve">Page </w:t>
    </w:r>
    <w:r w:rsidR="002E5964" w:rsidRPr="009A5DDC">
      <w:rPr>
        <w:rFonts w:ascii="Calibri" w:hAnsi="Calibri"/>
        <w:sz w:val="20"/>
        <w:szCs w:val="20"/>
      </w:rPr>
      <w:fldChar w:fldCharType="begin"/>
    </w:r>
    <w:r w:rsidRPr="009A5DDC">
      <w:rPr>
        <w:rFonts w:ascii="Calibri" w:hAnsi="Calibri"/>
        <w:sz w:val="20"/>
        <w:szCs w:val="20"/>
      </w:rPr>
      <w:instrText xml:space="preserve"> PAGE </w:instrText>
    </w:r>
    <w:r w:rsidR="002E5964" w:rsidRPr="009A5DDC">
      <w:rPr>
        <w:rFonts w:ascii="Calibri" w:hAnsi="Calibri"/>
        <w:sz w:val="20"/>
        <w:szCs w:val="20"/>
      </w:rPr>
      <w:fldChar w:fldCharType="separate"/>
    </w:r>
    <w:r w:rsidR="00734069">
      <w:rPr>
        <w:rFonts w:ascii="Calibri" w:hAnsi="Calibri"/>
        <w:noProof/>
        <w:sz w:val="20"/>
        <w:szCs w:val="20"/>
      </w:rPr>
      <w:t>1</w:t>
    </w:r>
    <w:r w:rsidR="002E5964" w:rsidRPr="009A5DDC">
      <w:rPr>
        <w:rFonts w:ascii="Calibri" w:hAnsi="Calibri"/>
        <w:sz w:val="20"/>
        <w:szCs w:val="20"/>
      </w:rPr>
      <w:fldChar w:fldCharType="end"/>
    </w:r>
    <w:r w:rsidRPr="009A5DDC">
      <w:rPr>
        <w:rFonts w:ascii="Calibri" w:hAnsi="Calibri"/>
        <w:sz w:val="20"/>
        <w:szCs w:val="20"/>
      </w:rPr>
      <w:t xml:space="preserve"> of </w:t>
    </w:r>
    <w:r w:rsidR="002E5964" w:rsidRPr="009A5DDC">
      <w:rPr>
        <w:rFonts w:ascii="Calibri" w:hAnsi="Calibri"/>
        <w:sz w:val="20"/>
        <w:szCs w:val="20"/>
      </w:rPr>
      <w:fldChar w:fldCharType="begin"/>
    </w:r>
    <w:r w:rsidRPr="009A5DDC">
      <w:rPr>
        <w:rFonts w:ascii="Calibri" w:hAnsi="Calibri"/>
        <w:sz w:val="20"/>
        <w:szCs w:val="20"/>
      </w:rPr>
      <w:instrText xml:space="preserve"> NUMPAGES  </w:instrText>
    </w:r>
    <w:r w:rsidR="002E5964" w:rsidRPr="009A5DDC">
      <w:rPr>
        <w:rFonts w:ascii="Calibri" w:hAnsi="Calibri"/>
        <w:sz w:val="20"/>
        <w:szCs w:val="20"/>
      </w:rPr>
      <w:fldChar w:fldCharType="separate"/>
    </w:r>
    <w:r w:rsidR="00734069">
      <w:rPr>
        <w:rFonts w:ascii="Calibri" w:hAnsi="Calibri"/>
        <w:noProof/>
        <w:sz w:val="20"/>
        <w:szCs w:val="20"/>
      </w:rPr>
      <w:t>3</w:t>
    </w:r>
    <w:r w:rsidR="002E5964" w:rsidRPr="009A5DDC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8E" w:rsidRDefault="00B6058E" w:rsidP="00331973">
      <w:r>
        <w:separator/>
      </w:r>
    </w:p>
  </w:footnote>
  <w:footnote w:type="continuationSeparator" w:id="0">
    <w:p w:rsidR="00B6058E" w:rsidRDefault="00B6058E" w:rsidP="00331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CDC"/>
    <w:multiLevelType w:val="hybridMultilevel"/>
    <w:tmpl w:val="C9E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103F"/>
    <w:multiLevelType w:val="hybridMultilevel"/>
    <w:tmpl w:val="BBEAB2C2"/>
    <w:lvl w:ilvl="0" w:tplc="E50A2C44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0E47D50"/>
    <w:multiLevelType w:val="hybridMultilevel"/>
    <w:tmpl w:val="08B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3AEE"/>
    <w:multiLevelType w:val="hybridMultilevel"/>
    <w:tmpl w:val="F5B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C48"/>
    <w:multiLevelType w:val="hybridMultilevel"/>
    <w:tmpl w:val="DCA8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E6960"/>
    <w:multiLevelType w:val="hybridMultilevel"/>
    <w:tmpl w:val="CCC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7C0C"/>
    <w:multiLevelType w:val="hybridMultilevel"/>
    <w:tmpl w:val="63E8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2E"/>
    <w:rsid w:val="000316D8"/>
    <w:rsid w:val="00052BD7"/>
    <w:rsid w:val="0009266F"/>
    <w:rsid w:val="00096AB8"/>
    <w:rsid w:val="000A6600"/>
    <w:rsid w:val="000A7EF5"/>
    <w:rsid w:val="000E519D"/>
    <w:rsid w:val="000E75B1"/>
    <w:rsid w:val="00141C74"/>
    <w:rsid w:val="0015749F"/>
    <w:rsid w:val="00182B8F"/>
    <w:rsid w:val="001A6072"/>
    <w:rsid w:val="001A644E"/>
    <w:rsid w:val="001B1C2E"/>
    <w:rsid w:val="001C3247"/>
    <w:rsid w:val="001E20E5"/>
    <w:rsid w:val="001E40B8"/>
    <w:rsid w:val="00202C50"/>
    <w:rsid w:val="002309B0"/>
    <w:rsid w:val="00260163"/>
    <w:rsid w:val="00282715"/>
    <w:rsid w:val="002B0661"/>
    <w:rsid w:val="002C1DD3"/>
    <w:rsid w:val="002C32C4"/>
    <w:rsid w:val="002E3D23"/>
    <w:rsid w:val="002E5964"/>
    <w:rsid w:val="002F3DC7"/>
    <w:rsid w:val="003047BA"/>
    <w:rsid w:val="00306CCD"/>
    <w:rsid w:val="003127B2"/>
    <w:rsid w:val="00320FF5"/>
    <w:rsid w:val="00331973"/>
    <w:rsid w:val="00343E25"/>
    <w:rsid w:val="00346F88"/>
    <w:rsid w:val="00356D3F"/>
    <w:rsid w:val="00375660"/>
    <w:rsid w:val="003777BB"/>
    <w:rsid w:val="003A096D"/>
    <w:rsid w:val="003E4E3B"/>
    <w:rsid w:val="0040169C"/>
    <w:rsid w:val="0042459E"/>
    <w:rsid w:val="00444D6B"/>
    <w:rsid w:val="004533F2"/>
    <w:rsid w:val="004734E3"/>
    <w:rsid w:val="00475601"/>
    <w:rsid w:val="00484083"/>
    <w:rsid w:val="00491776"/>
    <w:rsid w:val="0049698E"/>
    <w:rsid w:val="004E7EDF"/>
    <w:rsid w:val="00530E56"/>
    <w:rsid w:val="005503F9"/>
    <w:rsid w:val="005559C8"/>
    <w:rsid w:val="00570A61"/>
    <w:rsid w:val="00582851"/>
    <w:rsid w:val="00583255"/>
    <w:rsid w:val="005906EC"/>
    <w:rsid w:val="005C7275"/>
    <w:rsid w:val="005F3DBC"/>
    <w:rsid w:val="006314D3"/>
    <w:rsid w:val="00682CC4"/>
    <w:rsid w:val="006A15A0"/>
    <w:rsid w:val="006A2AE9"/>
    <w:rsid w:val="006B6238"/>
    <w:rsid w:val="006C0B14"/>
    <w:rsid w:val="006E6579"/>
    <w:rsid w:val="006E7994"/>
    <w:rsid w:val="007121F9"/>
    <w:rsid w:val="00734069"/>
    <w:rsid w:val="00761065"/>
    <w:rsid w:val="007743E8"/>
    <w:rsid w:val="00787781"/>
    <w:rsid w:val="007A3C30"/>
    <w:rsid w:val="007D5145"/>
    <w:rsid w:val="0080643B"/>
    <w:rsid w:val="00811BA5"/>
    <w:rsid w:val="00837B31"/>
    <w:rsid w:val="00870CBB"/>
    <w:rsid w:val="00884918"/>
    <w:rsid w:val="00884BB8"/>
    <w:rsid w:val="008A29DD"/>
    <w:rsid w:val="008B71D9"/>
    <w:rsid w:val="008E3FD0"/>
    <w:rsid w:val="00901EEB"/>
    <w:rsid w:val="00933990"/>
    <w:rsid w:val="009653B6"/>
    <w:rsid w:val="0097305D"/>
    <w:rsid w:val="00974B5F"/>
    <w:rsid w:val="0099629C"/>
    <w:rsid w:val="009B31DA"/>
    <w:rsid w:val="009E1A3A"/>
    <w:rsid w:val="00A318C3"/>
    <w:rsid w:val="00A351F5"/>
    <w:rsid w:val="00A56828"/>
    <w:rsid w:val="00AA67F2"/>
    <w:rsid w:val="00AC31C2"/>
    <w:rsid w:val="00AE3216"/>
    <w:rsid w:val="00AE76A1"/>
    <w:rsid w:val="00B00AA9"/>
    <w:rsid w:val="00B42B27"/>
    <w:rsid w:val="00B50AED"/>
    <w:rsid w:val="00B6058E"/>
    <w:rsid w:val="00B6164C"/>
    <w:rsid w:val="00B84E77"/>
    <w:rsid w:val="00B9293B"/>
    <w:rsid w:val="00BA52CC"/>
    <w:rsid w:val="00C0126D"/>
    <w:rsid w:val="00C10FDE"/>
    <w:rsid w:val="00C369A1"/>
    <w:rsid w:val="00C67E13"/>
    <w:rsid w:val="00C8502F"/>
    <w:rsid w:val="00CA0FF7"/>
    <w:rsid w:val="00CA3A29"/>
    <w:rsid w:val="00CC0B7F"/>
    <w:rsid w:val="00D03392"/>
    <w:rsid w:val="00D319DC"/>
    <w:rsid w:val="00D363ED"/>
    <w:rsid w:val="00DA75F1"/>
    <w:rsid w:val="00DB275C"/>
    <w:rsid w:val="00DB443B"/>
    <w:rsid w:val="00DB5A13"/>
    <w:rsid w:val="00DB5E99"/>
    <w:rsid w:val="00DD04BC"/>
    <w:rsid w:val="00DF3649"/>
    <w:rsid w:val="00E16BE6"/>
    <w:rsid w:val="00E26EE5"/>
    <w:rsid w:val="00E94BA5"/>
    <w:rsid w:val="00EF398C"/>
    <w:rsid w:val="00F36498"/>
    <w:rsid w:val="00F60734"/>
    <w:rsid w:val="00F82F6A"/>
    <w:rsid w:val="00FC1C6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B1C2E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1B1C2E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1C2E"/>
    <w:rPr>
      <w:rFonts w:ascii="Consolas" w:eastAsia="Calibri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00A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50AE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AE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50AE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AE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34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340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A400-9ADE-4A6F-9351-B5700C2E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Fleishman Hillard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Lowry</dc:creator>
  <cp:lastModifiedBy>anacalcada</cp:lastModifiedBy>
  <cp:revision>2</cp:revision>
  <dcterms:created xsi:type="dcterms:W3CDTF">2011-12-07T15:47:00Z</dcterms:created>
  <dcterms:modified xsi:type="dcterms:W3CDTF">2011-12-07T15:47:00Z</dcterms:modified>
</cp:coreProperties>
</file>